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>Закупочной документации №</w:t>
      </w:r>
      <w:r w:rsidR="00EA45E3">
        <w:rPr>
          <w:b w:val="0"/>
          <w:sz w:val="18"/>
          <w:szCs w:val="16"/>
        </w:rPr>
        <w:t>11</w:t>
      </w:r>
      <w:r w:rsidR="00A03B02" w:rsidRPr="00A03B02">
        <w:rPr>
          <w:b w:val="0"/>
          <w:sz w:val="18"/>
          <w:szCs w:val="16"/>
        </w:rPr>
        <w:t>-2017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864ABE" w:rsidRDefault="002650FF" w:rsidP="00635A6D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 xml:space="preserve">полнение работ по ремонту кровЕЛЬ </w:t>
      </w:r>
    </w:p>
    <w:p w:rsidR="007B7C05" w:rsidRPr="00EE2C83" w:rsidRDefault="00A03B02" w:rsidP="00864ABE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нежиЛЫХ зданиЙ</w:t>
      </w:r>
      <w:r w:rsidR="00864ABE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 xml:space="preserve">№ </w:t>
      </w:r>
      <w:r w:rsidR="00EA45E3">
        <w:rPr>
          <w:sz w:val="24"/>
          <w:szCs w:val="24"/>
        </w:rPr>
        <w:t>11</w:t>
      </w:r>
      <w:r>
        <w:rPr>
          <w:sz w:val="24"/>
          <w:szCs w:val="24"/>
        </w:rPr>
        <w:t>-2017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A03B02">
        <w:t>7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>ыполнение работ по ремонту кровель нежилых зданий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«__»__________2017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346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>полнение работ по ремонту кровель нежилых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DA0F03">
        <w:rPr>
          <w:rFonts w:ascii="Times New Roman" w:hAnsi="Times New Roman" w:cs="Times New Roman"/>
          <w:sz w:val="24"/>
          <w:szCs w:val="24"/>
        </w:rPr>
        <w:t>й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Default="00864ABE" w:rsidP="000F737D">
      <w:pPr>
        <w:pStyle w:val="ConsPlusNonformat"/>
        <w:widowControl/>
        <w:ind w:left="-14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работ: ремонту кровель нежилых</w:t>
      </w:r>
      <w:r w:rsidRPr="00350022">
        <w:rPr>
          <w:rFonts w:ascii="Times New Roman" w:hAnsi="Times New Roman" w:cs="Times New Roman"/>
          <w:sz w:val="24"/>
          <w:szCs w:val="24"/>
        </w:rPr>
        <w:t xml:space="preserve">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5002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DA0F0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693,6 м2.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2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 xml:space="preserve">на объектах </w:t>
      </w:r>
      <w:r w:rsidR="007B7C05" w:rsidRPr="00EE2C83">
        <w:t xml:space="preserve">Заказчика, </w:t>
      </w:r>
      <w:r w:rsidR="00864ABE">
        <w:t xml:space="preserve">расположенных </w:t>
      </w:r>
      <w:r w:rsidR="007B7C05" w:rsidRPr="00EE2C83">
        <w:t xml:space="preserve">по адресу: </w:t>
      </w:r>
      <w:r w:rsidR="00EE2C83">
        <w:t xml:space="preserve">660004, </w:t>
      </w:r>
      <w:r w:rsidR="00EE2C83" w:rsidRPr="00EE2C83">
        <w:t>г. Красноярск</w:t>
      </w:r>
      <w:r w:rsidR="007B7C05" w:rsidRPr="00EE2C83">
        <w:t>, ул.</w:t>
      </w:r>
      <w:r w:rsidR="00EE2C83">
        <w:t xml:space="preserve">26 Бакинских </w:t>
      </w:r>
      <w:r w:rsidR="00F336A6">
        <w:t>К</w:t>
      </w:r>
      <w:r w:rsidR="00EE2C83">
        <w:t xml:space="preserve">омиссаров, </w:t>
      </w:r>
      <w:r w:rsidR="0002041D">
        <w:t xml:space="preserve">1 </w:t>
      </w:r>
      <w:r>
        <w:t xml:space="preserve">согласно </w:t>
      </w:r>
      <w:r w:rsidR="00EA45E3">
        <w:t xml:space="preserve">Перечню </w:t>
      </w:r>
      <w:r w:rsidR="00EA45E3" w:rsidRPr="000F737D">
        <w:rPr>
          <w:szCs w:val="22"/>
        </w:rPr>
        <w:t>нежилых зданий,</w:t>
      </w:r>
      <w:r w:rsidRPr="000F737D">
        <w:rPr>
          <w:szCs w:val="22"/>
        </w:rPr>
        <w:t xml:space="preserve"> площадью </w:t>
      </w:r>
      <w:r w:rsidRPr="000F737D">
        <w:rPr>
          <w:sz w:val="22"/>
          <w:szCs w:val="22"/>
        </w:rPr>
        <w:t>1693,6</w:t>
      </w:r>
      <w:r w:rsidRPr="000F737D">
        <w:rPr>
          <w:szCs w:val="22"/>
        </w:rPr>
        <w:t xml:space="preserve"> м2, расположенных по адресу: Красноярский край, г. Красноярск, ул. 26 Бакинских Комиссаров, д. 1</w:t>
      </w:r>
      <w:r>
        <w:rPr>
          <w:szCs w:val="22"/>
        </w:rPr>
        <w:t xml:space="preserve"> (Приложение № 3 к Договору) и </w:t>
      </w:r>
      <w:r w:rsidR="0002041D">
        <w:t>в объеме, установленном В</w:t>
      </w:r>
      <w:r w:rsidR="00606D49">
        <w:t>едомостью объемов рабо</w:t>
      </w:r>
      <w:r>
        <w:t>т (Приложение № 4</w:t>
      </w:r>
      <w:r w:rsidR="002650FF">
        <w:t xml:space="preserve"> к Договор</w:t>
      </w:r>
      <w:r w:rsidR="00606D49">
        <w:t>у)</w:t>
      </w:r>
      <w:r w:rsidRPr="00E02593">
        <w:rPr>
          <w:b/>
          <w:szCs w:val="22"/>
        </w:rPr>
        <w:t>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>
        <w:t xml:space="preserve"> (Приложение № 5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>(Приложение № 6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2650FF">
        <w:rPr>
          <w:rFonts w:ascii="Times New Roman" w:hAnsi="Times New Roman" w:cs="Times New Roman"/>
          <w:sz w:val="24"/>
          <w:szCs w:val="24"/>
        </w:rPr>
        <w:t>7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DF5B77">
        <w:rPr>
          <w:rFonts w:ascii="Times New Roman" w:hAnsi="Times New Roman" w:cs="Times New Roman"/>
          <w:sz w:val="24"/>
          <w:szCs w:val="24"/>
        </w:rPr>
        <w:t>6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безопасности, </w:t>
      </w:r>
      <w:r w:rsidR="00817B61">
        <w:rPr>
          <w:color w:val="000000"/>
        </w:rPr>
        <w:t xml:space="preserve">Правил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7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</w:t>
      </w:r>
      <w:r w:rsidR="00C87D0D" w:rsidRPr="00B02F41">
        <w:lastRenderedPageBreak/>
        <w:t>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AD40AE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</w:t>
      </w:r>
      <w:r w:rsidRPr="00AD40AE">
        <w:rPr>
          <w:rFonts w:ascii="Times New Roman" w:hAnsi="Times New Roman" w:cs="Times New Roman"/>
          <w:sz w:val="24"/>
          <w:szCs w:val="24"/>
        </w:rPr>
        <w:t xml:space="preserve"> нежилых зданий площадью 1693,6 м2, расположенных по адресу: Красноярский край, г. Красноярск, ул. 26 Бакинских Комиссаров, д. 1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3);</w:t>
      </w:r>
    </w:p>
    <w:p w:rsidR="00606D49" w:rsidRDefault="00AE3336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- 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AD40AE">
        <w:rPr>
          <w:rFonts w:ascii="Times New Roman" w:hAnsi="Times New Roman" w:cs="Times New Roman"/>
          <w:sz w:val="24"/>
          <w:szCs w:val="24"/>
        </w:rPr>
        <w:t>4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5);</w:t>
      </w:r>
    </w:p>
    <w:p w:rsid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Календарный график выполнения работ (Приложение № 6);</w:t>
      </w:r>
    </w:p>
    <w:p w:rsidR="00AD40AE" w:rsidRPr="00AD40AE" w:rsidRDefault="00AD40AE" w:rsidP="00AD40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 xml:space="preserve">- 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7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>Красноярск, ул. Маерчака,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Скобников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кровель нежилых зданий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2D4CD1">
        <w:t>7</w:t>
      </w:r>
      <w:r w:rsidRPr="00EE2C83">
        <w:t xml:space="preserve"> г.</w:t>
      </w:r>
      <w:r w:rsidR="0099686C">
        <w:t xml:space="preserve"> № </w:t>
      </w:r>
      <w:r w:rsidR="00EA45E3">
        <w:t>11</w:t>
      </w:r>
      <w:r w:rsidR="00B67A66">
        <w:t>-201</w:t>
      </w:r>
      <w:r w:rsidR="002D4CD1">
        <w:t>7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  <w:r w:rsidR="00AD40AE">
        <w:t>*</w:t>
      </w:r>
    </w:p>
    <w:p w:rsidR="007B7C05" w:rsidRPr="00EE2C83" w:rsidRDefault="007B7C05" w:rsidP="007B7C05">
      <w:pPr>
        <w:jc w:val="center"/>
      </w:pPr>
    </w:p>
    <w:p w:rsidR="002D4CD1" w:rsidRDefault="002D4CD1" w:rsidP="002D4CD1">
      <w:pPr>
        <w:jc w:val="both"/>
        <w:rPr>
          <w:rFonts w:ascii="Calibri" w:eastAsia="Calibri" w:hAnsi="Calibri"/>
        </w:rPr>
      </w:pPr>
      <w:r>
        <w:fldChar w:fldCharType="begin"/>
      </w:r>
      <w:r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tbl>
      <w:tblPr>
        <w:tblW w:w="15586" w:type="dxa"/>
        <w:tblInd w:w="108" w:type="dxa"/>
        <w:tblLook w:val="04A0" w:firstRow="1" w:lastRow="0" w:firstColumn="1" w:lastColumn="0" w:noHBand="0" w:noVBand="1"/>
      </w:tblPr>
      <w:tblGrid>
        <w:gridCol w:w="504"/>
        <w:gridCol w:w="1345"/>
        <w:gridCol w:w="1735"/>
        <w:gridCol w:w="872"/>
        <w:gridCol w:w="1104"/>
        <w:gridCol w:w="1079"/>
        <w:gridCol w:w="852"/>
        <w:gridCol w:w="919"/>
        <w:gridCol w:w="813"/>
        <w:gridCol w:w="2783"/>
        <w:gridCol w:w="1848"/>
        <w:gridCol w:w="919"/>
        <w:gridCol w:w="813"/>
      </w:tblGrid>
      <w:tr w:rsidR="002D4CD1" w:rsidRPr="00992B7D" w:rsidTr="0086273B">
        <w:trPr>
          <w:trHeight w:val="25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6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2D4CD1" w:rsidRPr="00992B7D" w:rsidTr="0086273B">
        <w:trPr>
          <w:trHeight w:val="2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2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2D4CD1" w:rsidRPr="00992B7D" w:rsidTr="0086273B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2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</w:rPr>
            </w:pPr>
            <w:r w:rsidRPr="00992B7D">
              <w:rPr>
                <w:rFonts w:ascii="Arial" w:hAnsi="Arial" w:cs="Arial"/>
                <w:b/>
                <w:bCs/>
              </w:rPr>
              <w:t>Раздел 1. ТП-5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Демонтажные работы</w:t>
            </w:r>
          </w:p>
        </w:tc>
      </w:tr>
      <w:tr w:rsidR="002D4CD1" w:rsidRPr="00992B7D" w:rsidTr="0086273B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86273B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Монтажные работы</w:t>
            </w:r>
          </w:p>
        </w:tc>
      </w:tr>
      <w:tr w:rsidR="002D4CD1" w:rsidRPr="00992B7D" w:rsidTr="0086273B">
        <w:trPr>
          <w:trHeight w:val="8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86273B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</w:rPr>
            </w:pPr>
            <w:r w:rsidRPr="00992B7D">
              <w:rPr>
                <w:rFonts w:ascii="Arial" w:hAnsi="Arial" w:cs="Arial"/>
                <w:b/>
                <w:bCs/>
              </w:rPr>
              <w:t>Раздел 2. ТП-63</w:t>
            </w:r>
          </w:p>
        </w:tc>
      </w:tr>
      <w:tr w:rsidR="002D4CD1" w:rsidRPr="00992B7D" w:rsidTr="002D4CD1">
        <w:trPr>
          <w:trHeight w:val="398"/>
        </w:trPr>
        <w:tc>
          <w:tcPr>
            <w:tcW w:w="15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коэффициентов к итогам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4CD1" w:rsidRPr="00992B7D" w:rsidTr="0086273B">
        <w:trPr>
          <w:trHeight w:val="6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2B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lastRenderedPageBreak/>
              <w:t>Накладные расходы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73B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992B7D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992B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86273B" w:rsidP="000F1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B7D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6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Кровли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Материалы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Крыши, кровли (ремонтно-строительные)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sz w:val="18"/>
                <w:szCs w:val="18"/>
              </w:rPr>
            </w:pPr>
            <w:r w:rsidRPr="00992B7D">
              <w:rPr>
                <w:rFonts w:ascii="Arial" w:hAnsi="Arial" w:cs="Arial"/>
                <w:sz w:val="18"/>
                <w:szCs w:val="18"/>
              </w:rPr>
              <w:t xml:space="preserve">  НДС 18% от 1830354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30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CD1" w:rsidRPr="00992B7D" w:rsidRDefault="002D4CD1" w:rsidP="000F1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2B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</w:tr>
      <w:tr w:rsidR="002D4CD1" w:rsidRPr="00992B7D" w:rsidTr="0086273B">
        <w:trPr>
          <w:trHeight w:val="2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4CD1" w:rsidRPr="00992B7D" w:rsidRDefault="002D4CD1" w:rsidP="000F1D0A">
            <w:pPr>
              <w:jc w:val="right"/>
            </w:pPr>
          </w:p>
        </w:tc>
      </w:tr>
    </w:tbl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>________________/К.С. Скобников</w:t>
      </w:r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кровель нежилых зданий 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17</w:t>
      </w:r>
      <w:r w:rsidRPr="00EE2C83">
        <w:t xml:space="preserve"> г.</w:t>
      </w:r>
      <w:r>
        <w:t xml:space="preserve"> № </w:t>
      </w:r>
      <w:r w:rsidR="00EA45E3">
        <w:t>11</w:t>
      </w:r>
      <w:r>
        <w:t>-2017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>Выполнение работ по ремонту кровель нежилых зданий</w:t>
      </w:r>
      <w:bookmarkEnd w:id="5"/>
      <w:r w:rsidRPr="00454D95">
        <w:rPr>
          <w:sz w:val="22"/>
          <w:szCs w:val="22"/>
        </w:rPr>
        <w:t>»</w:t>
      </w:r>
      <w:r w:rsidR="00875543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кровель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</w:t>
      </w:r>
      <w:r w:rsidRPr="00454D95">
        <w:rPr>
          <w:sz w:val="22"/>
          <w:szCs w:val="22"/>
        </w:rPr>
        <w:t>, расположенного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1»,</w:t>
      </w:r>
      <w:r w:rsidRPr="003E2848">
        <w:t xml:space="preserve"> </w:t>
      </w:r>
      <w:r w:rsidRPr="003E2848">
        <w:rPr>
          <w:sz w:val="22"/>
          <w:szCs w:val="22"/>
        </w:rPr>
        <w:t xml:space="preserve">Перечень нежилых зданий площадью </w:t>
      </w:r>
      <w:r w:rsidRPr="00B725DD">
        <w:rPr>
          <w:sz w:val="22"/>
          <w:szCs w:val="22"/>
        </w:rPr>
        <w:t>1693</w:t>
      </w:r>
      <w:r>
        <w:rPr>
          <w:sz w:val="22"/>
          <w:szCs w:val="22"/>
        </w:rPr>
        <w:t>,6</w:t>
      </w:r>
      <w:r w:rsidRPr="003E2848">
        <w:rPr>
          <w:sz w:val="22"/>
          <w:szCs w:val="22"/>
        </w:rPr>
        <w:t xml:space="preserve"> м2, расположенных по адресу:</w:t>
      </w:r>
      <w:r>
        <w:rPr>
          <w:sz w:val="22"/>
          <w:szCs w:val="22"/>
        </w:rPr>
        <w:t xml:space="preserve"> </w:t>
      </w:r>
      <w:r w:rsidRPr="003E2848">
        <w:rPr>
          <w:sz w:val="22"/>
          <w:szCs w:val="22"/>
        </w:rPr>
        <w:t>Красноярский край, г. Красноярск, ул. 26 Бакинских Комиссаров, д. 1.</w:t>
      </w:r>
      <w:r>
        <w:rPr>
          <w:sz w:val="22"/>
          <w:szCs w:val="22"/>
        </w:rPr>
        <w:t xml:space="preserve">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1.2. Выполняемые Работы должны соответствовать действующим нормам и правилам.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2.1. Поддержание зданий и сооружений 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 в нормативном состоянии, приведение в соответствие с требованиями основных нормативно-технических документов (НТД).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При ремонте кровли нежилого здания необходимо выполнить следующие работы: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освободить подлежащее ремонту здание или его часть от пребывания людей;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необходимые отключения и демонтаж кабельных линий, трубопроводов и других инженерных сетей;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оградить территорию </w:t>
      </w:r>
      <w:r w:rsidR="001E4048">
        <w:rPr>
          <w:sz w:val="22"/>
          <w:szCs w:val="22"/>
        </w:rPr>
        <w:t>объекта, на котором выполняются ремонтные работы</w:t>
      </w:r>
      <w:r w:rsidRPr="00454D95">
        <w:rPr>
          <w:sz w:val="22"/>
          <w:szCs w:val="22"/>
        </w:rPr>
        <w:t>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работы по разборке и демонтажу существующей кровли здания; 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ремонт кровли в соответствии с действующими нормами и правилами.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.2 Работа по ремонту кровли включает в себя: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демонтаж существующей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вывоз непригодных для дальнейшего использования материалов;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монтаж наплавляемой кровли;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примыканий кровли к кирпичной стене;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выполнение работ по обделке из листовой стали (поясков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сандриков</w:t>
      </w:r>
      <w:proofErr w:type="spellEnd"/>
      <w:r>
        <w:rPr>
          <w:sz w:val="22"/>
          <w:szCs w:val="22"/>
        </w:rPr>
        <w:t>, отливов, карнизов).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.3. Готовые к монтажу изделия и материалы проверяют</w:t>
      </w:r>
      <w:r>
        <w:rPr>
          <w:sz w:val="22"/>
          <w:szCs w:val="22"/>
        </w:rPr>
        <w:t xml:space="preserve">ся </w:t>
      </w:r>
      <w:r w:rsidR="001E4048">
        <w:rPr>
          <w:sz w:val="22"/>
          <w:szCs w:val="22"/>
        </w:rPr>
        <w:t xml:space="preserve">уполномоченными представителями </w:t>
      </w:r>
      <w:r>
        <w:rPr>
          <w:sz w:val="22"/>
          <w:szCs w:val="22"/>
        </w:rPr>
        <w:t>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 w:rsidRPr="00454D95">
        <w:rPr>
          <w:b/>
          <w:sz w:val="22"/>
          <w:szCs w:val="22"/>
        </w:rPr>
        <w:t>IIІ</w:t>
      </w:r>
      <w:r w:rsidRPr="00B725DD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IV</w:t>
      </w:r>
      <w:r w:rsidRPr="00454D95">
        <w:rPr>
          <w:b/>
          <w:sz w:val="22"/>
          <w:szCs w:val="22"/>
        </w:rPr>
        <w:t xml:space="preserve"> кварталах 201</w:t>
      </w:r>
      <w:r w:rsidRPr="00B725DD">
        <w:rPr>
          <w:b/>
          <w:sz w:val="22"/>
          <w:szCs w:val="22"/>
        </w:rPr>
        <w:t>7</w:t>
      </w:r>
      <w:r w:rsidRPr="00454D95">
        <w:rPr>
          <w:b/>
          <w:sz w:val="22"/>
          <w:szCs w:val="22"/>
        </w:rPr>
        <w:t xml:space="preserve"> года</w:t>
      </w:r>
      <w:r w:rsidR="00875543">
        <w:rPr>
          <w:b/>
          <w:sz w:val="22"/>
          <w:szCs w:val="22"/>
        </w:rPr>
        <w:t>, в сроки, установленные Договором</w:t>
      </w:r>
      <w:r w:rsidRPr="00454D95">
        <w:rPr>
          <w:b/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 (автокран, автовышка (подъемник), бортовой автомобиль, грузовой автомобиль, погрузчик, комплект монтажного оборудования, инструмента и приспособлений). </w:t>
      </w:r>
    </w:p>
    <w:p w:rsidR="0002041D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</w:p>
    <w:p w:rsidR="0002041D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54D95">
        <w:rPr>
          <w:sz w:val="22"/>
          <w:szCs w:val="22"/>
        </w:rPr>
        <w:t xml:space="preserve">.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02041D" w:rsidRPr="00454D95" w:rsidRDefault="0002041D" w:rsidP="0002041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 w:rsidR="001E4048"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</w:t>
      </w:r>
      <w:r w:rsidR="001E4048">
        <w:rPr>
          <w:sz w:val="22"/>
          <w:szCs w:val="22"/>
        </w:rPr>
        <w:t xml:space="preserve"> по Акту сдачи- приемки выполненных работ</w:t>
      </w:r>
      <w:r w:rsidRPr="00454D95">
        <w:rPr>
          <w:sz w:val="22"/>
          <w:szCs w:val="22"/>
        </w:rPr>
        <w:t>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7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</w:t>
      </w:r>
      <w:r w:rsidR="00875543">
        <w:rPr>
          <w:sz w:val="22"/>
          <w:szCs w:val="22"/>
        </w:rPr>
        <w:t>р</w:t>
      </w:r>
      <w:r w:rsidRPr="00454D95">
        <w:rPr>
          <w:sz w:val="22"/>
          <w:szCs w:val="22"/>
        </w:rPr>
        <w:t>абот.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представляет Заказчику следующую документацию: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Подрядчес</w:t>
      </w:r>
      <w:r w:rsidRPr="00454D95">
        <w:rPr>
          <w:sz w:val="22"/>
          <w:szCs w:val="22"/>
        </w:rPr>
        <w:t>кую документацию согласно действующих НТД;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</w:p>
    <w:p w:rsidR="0002041D" w:rsidRPr="00454D95" w:rsidRDefault="0002041D" w:rsidP="0002041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02041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</w:t>
      </w:r>
      <w:bookmarkStart w:id="6" w:name="_Hlk491684794"/>
      <w:r w:rsidR="008E0F90" w:rsidRPr="00454D95">
        <w:rPr>
          <w:sz w:val="22"/>
          <w:szCs w:val="22"/>
        </w:rPr>
        <w:t xml:space="preserve">На выполненные </w:t>
      </w:r>
      <w:r w:rsidR="008E0F90">
        <w:rPr>
          <w:sz w:val="22"/>
          <w:szCs w:val="22"/>
        </w:rPr>
        <w:t>Подрядчиком</w:t>
      </w:r>
      <w:r w:rsidR="008E0F90" w:rsidRPr="00454D95">
        <w:rPr>
          <w:sz w:val="22"/>
          <w:szCs w:val="22"/>
        </w:rPr>
        <w:t xml:space="preserve"> работы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работ. На </w:t>
      </w:r>
      <w:r w:rsidR="008E0F90">
        <w:rPr>
          <w:sz w:val="22"/>
          <w:szCs w:val="22"/>
        </w:rPr>
        <w:t>использованные Подрядчиком</w:t>
      </w:r>
      <w:r w:rsidR="008E0F90" w:rsidRPr="00454D95">
        <w:rPr>
          <w:sz w:val="22"/>
          <w:szCs w:val="22"/>
        </w:rPr>
        <w:t xml:space="preserve"> </w:t>
      </w:r>
      <w:r w:rsidR="008E0F90" w:rsidRPr="00E538EA">
        <w:rPr>
          <w:sz w:val="22"/>
          <w:szCs w:val="22"/>
        </w:rPr>
        <w:t>в ходе выполнения работ материалы</w:t>
      </w:r>
      <w:r w:rsidR="008E0F90" w:rsidRPr="00454D95">
        <w:rPr>
          <w:sz w:val="22"/>
          <w:szCs w:val="22"/>
        </w:rPr>
        <w:t xml:space="preserve"> устанавливается гарантийный срок продо</w:t>
      </w:r>
      <w:r w:rsidR="008E0F90">
        <w:rPr>
          <w:sz w:val="22"/>
          <w:szCs w:val="22"/>
        </w:rPr>
        <w:t>лжительностью 12 месяцев с даты</w:t>
      </w:r>
      <w:r w:rsidR="008E0F90" w:rsidRPr="00454D95">
        <w:rPr>
          <w:sz w:val="22"/>
          <w:szCs w:val="22"/>
        </w:rPr>
        <w:t xml:space="preserve"> подписания обеими Сторонами акта сдачи-приёмки выполненных работ</w:t>
      </w:r>
      <w:r w:rsidR="008E0F90">
        <w:rPr>
          <w:sz w:val="22"/>
          <w:szCs w:val="22"/>
        </w:rPr>
        <w:t xml:space="preserve"> либо гарантийный срок не менее гарантийного срока, установленного изготовителем (производителем) материалов</w:t>
      </w:r>
      <w:r w:rsidR="008E0F90" w:rsidRPr="00454D95">
        <w:rPr>
          <w:sz w:val="22"/>
          <w:szCs w:val="22"/>
        </w:rPr>
        <w:t>.</w:t>
      </w:r>
      <w:r w:rsidR="008E0F90"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6"/>
    <w:p w:rsidR="00635A6D" w:rsidRPr="00454D95" w:rsidRDefault="0002041D" w:rsidP="0002041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 w:rsidR="008E0F90" w:rsidRPr="008E0F90">
        <w:rPr>
          <w:sz w:val="22"/>
          <w:szCs w:val="22"/>
        </w:rPr>
        <w:t xml:space="preserve"> </w:t>
      </w:r>
      <w:r w:rsidR="008E0F90">
        <w:rPr>
          <w:sz w:val="22"/>
          <w:szCs w:val="22"/>
        </w:rPr>
        <w:t>в согласованный с Заказчиком срок</w:t>
      </w:r>
      <w:r w:rsidRPr="00454D95">
        <w:rPr>
          <w:sz w:val="22"/>
          <w:szCs w:val="22"/>
        </w:rPr>
        <w:t xml:space="preserve">.   </w:t>
      </w:r>
    </w:p>
    <w:p w:rsidR="00635A6D" w:rsidRDefault="00635A6D" w:rsidP="00635A6D">
      <w:pPr>
        <w:jc w:val="both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Pr="00A47FBE" w:rsidRDefault="000F737D" w:rsidP="000F737D">
      <w:pPr>
        <w:jc w:val="right"/>
      </w:pPr>
      <w:r>
        <w:lastRenderedPageBreak/>
        <w:t>Приложение № 3</w:t>
      </w:r>
    </w:p>
    <w:p w:rsidR="000F737D" w:rsidRDefault="000F737D" w:rsidP="000F737D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0F737D" w:rsidRDefault="000F737D" w:rsidP="00875543">
      <w:pPr>
        <w:jc w:val="right"/>
      </w:pPr>
      <w:r w:rsidRPr="002D4CD1">
        <w:t xml:space="preserve">ремонту кровель нежилых зданий </w:t>
      </w:r>
    </w:p>
    <w:p w:rsidR="000F737D" w:rsidRDefault="000F737D" w:rsidP="000F737D">
      <w:pPr>
        <w:jc w:val="right"/>
      </w:pPr>
      <w:r w:rsidRPr="00A47FBE">
        <w:t xml:space="preserve">от </w:t>
      </w:r>
      <w:r>
        <w:t xml:space="preserve">«___» _________ 2017 г. № </w:t>
      </w:r>
      <w:r w:rsidR="00EA45E3">
        <w:t>11</w:t>
      </w:r>
      <w:r>
        <w:t>-2017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</w:p>
    <w:p w:rsidR="000F737D" w:rsidRPr="00E02593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 xml:space="preserve">Перечень нежилых зданий площадью </w:t>
      </w:r>
      <w:r w:rsidRPr="00B725DD">
        <w:rPr>
          <w:b/>
          <w:sz w:val="22"/>
          <w:szCs w:val="22"/>
        </w:rPr>
        <w:t>1693,6</w:t>
      </w:r>
      <w:r w:rsidRPr="00E02593">
        <w:rPr>
          <w:b/>
          <w:szCs w:val="22"/>
        </w:rPr>
        <w:t xml:space="preserve"> м2, расположенных по адресу:</w:t>
      </w:r>
    </w:p>
    <w:p w:rsidR="000F737D" w:rsidRDefault="000F737D" w:rsidP="000F737D">
      <w:pPr>
        <w:jc w:val="center"/>
        <w:rPr>
          <w:b/>
          <w:szCs w:val="22"/>
        </w:rPr>
      </w:pPr>
      <w:r w:rsidRPr="00E02593">
        <w:rPr>
          <w:b/>
          <w:szCs w:val="22"/>
        </w:rPr>
        <w:t>Красноярский край, г. Красноярск, ул. 26 Бакинских Комиссаров, д. 1.</w:t>
      </w:r>
    </w:p>
    <w:p w:rsidR="000F737D" w:rsidRPr="00454D95" w:rsidRDefault="000F737D" w:rsidP="000F737D">
      <w:pPr>
        <w:jc w:val="both"/>
        <w:rPr>
          <w:sz w:val="22"/>
          <w:szCs w:val="22"/>
        </w:rPr>
      </w:pPr>
    </w:p>
    <w:tbl>
      <w:tblPr>
        <w:tblW w:w="10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6962"/>
        <w:gridCol w:w="2494"/>
      </w:tblGrid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№п/п</w:t>
            </w: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Наименование объекта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 xml:space="preserve">Площадь кровли, </w:t>
            </w:r>
          </w:p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м2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95,6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ТП-63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ТП-96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ТП-104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162,5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ТП-105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6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ТП-заводоуправления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42,5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7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ГПП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400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8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Гараж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308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9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Склад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224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 w:rsidRPr="00BA161E">
              <w:rPr>
                <w:szCs w:val="22"/>
              </w:rPr>
              <w:t>10</w:t>
            </w:r>
          </w:p>
        </w:tc>
        <w:tc>
          <w:tcPr>
            <w:tcW w:w="6962" w:type="dxa"/>
            <w:shd w:val="clear" w:color="auto" w:fill="auto"/>
          </w:tcPr>
          <w:p w:rsidR="000F737D" w:rsidRPr="00FB3806" w:rsidRDefault="000F737D" w:rsidP="00934AB6">
            <w:pPr>
              <w:rPr>
                <w:szCs w:val="22"/>
              </w:rPr>
            </w:pPr>
            <w:r w:rsidRPr="00FB3806">
              <w:rPr>
                <w:szCs w:val="22"/>
              </w:rPr>
              <w:t>Маслохозяйство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rPr>
                <w:b/>
                <w:szCs w:val="22"/>
              </w:rPr>
            </w:pPr>
            <w:r w:rsidRPr="00BA161E">
              <w:rPr>
                <w:b/>
                <w:szCs w:val="22"/>
              </w:rPr>
              <w:t>ИТОГО:</w:t>
            </w: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b/>
                <w:szCs w:val="22"/>
              </w:rPr>
            </w:pPr>
            <w:r w:rsidRPr="00B725DD">
              <w:rPr>
                <w:b/>
                <w:sz w:val="22"/>
                <w:szCs w:val="22"/>
              </w:rPr>
              <w:t>1693,6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F737D" w:rsidRPr="00BA161E" w:rsidTr="00934AB6">
        <w:tc>
          <w:tcPr>
            <w:tcW w:w="921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</w:p>
        </w:tc>
        <w:tc>
          <w:tcPr>
            <w:tcW w:w="6962" w:type="dxa"/>
            <w:shd w:val="clear" w:color="auto" w:fill="auto"/>
          </w:tcPr>
          <w:p w:rsidR="000F737D" w:rsidRPr="00BA161E" w:rsidRDefault="000F737D" w:rsidP="00934AB6">
            <w:pPr>
              <w:rPr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F737D" w:rsidRPr="00BA161E" w:rsidRDefault="000F737D" w:rsidP="00934AB6">
            <w:pPr>
              <w:jc w:val="center"/>
              <w:rPr>
                <w:szCs w:val="22"/>
              </w:rPr>
            </w:pPr>
          </w:p>
        </w:tc>
      </w:tr>
    </w:tbl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ООО «</w:t>
      </w:r>
      <w:r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0F737D" w:rsidRPr="00635A6D" w:rsidRDefault="000F737D" w:rsidP="000F737D">
      <w:pPr>
        <w:jc w:val="both"/>
        <w:rPr>
          <w:szCs w:val="22"/>
        </w:rPr>
      </w:pPr>
      <w:r>
        <w:rPr>
          <w:szCs w:val="22"/>
        </w:rPr>
        <w:t>Директор</w:t>
      </w:r>
      <w:r w:rsidRPr="00635A6D">
        <w:rPr>
          <w:szCs w:val="22"/>
        </w:rPr>
        <w:t xml:space="preserve">                                                 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Pr="00635A6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0F737D" w:rsidRPr="00635A6D" w:rsidRDefault="000F737D" w:rsidP="000F737D">
      <w:pPr>
        <w:jc w:val="both"/>
        <w:rPr>
          <w:szCs w:val="22"/>
        </w:rPr>
      </w:pPr>
    </w:p>
    <w:p w:rsidR="000F737D" w:rsidRDefault="000F737D" w:rsidP="000F737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0F737D" w:rsidRDefault="000F737D" w:rsidP="000F737D">
      <w:pPr>
        <w:jc w:val="both"/>
        <w:rPr>
          <w:szCs w:val="22"/>
        </w:rPr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0F737D" w:rsidRDefault="000F737D" w:rsidP="00DC5670">
      <w:pPr>
        <w:jc w:val="right"/>
      </w:pP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0F737D">
        <w:t>4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кровель нежилых зданий </w:t>
      </w:r>
    </w:p>
    <w:p w:rsidR="00DC5670" w:rsidRDefault="00DC5670" w:rsidP="0063022D">
      <w:pPr>
        <w:jc w:val="right"/>
      </w:pPr>
      <w:r w:rsidRPr="00A47FBE">
        <w:t xml:space="preserve">от </w:t>
      </w:r>
      <w:r w:rsidR="0063022D">
        <w:t xml:space="preserve">«___» _________ 2017 г. № </w:t>
      </w:r>
      <w:r w:rsidR="00EA45E3">
        <w:t>11</w:t>
      </w:r>
      <w:r w:rsidR="0063022D">
        <w:t>-2017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  <w:gridCol w:w="1392"/>
      </w:tblGrid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392" w:type="dxa"/>
            <w:shd w:val="clear" w:color="auto" w:fill="auto"/>
          </w:tcPr>
          <w:p w:rsidR="0063022D" w:rsidRPr="004D4FCC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4D4FCC">
              <w:rPr>
                <w:b/>
                <w:sz w:val="22"/>
                <w:szCs w:val="22"/>
              </w:rPr>
              <w:t>Количество</w:t>
            </w:r>
          </w:p>
        </w:tc>
      </w:tr>
      <w:tr w:rsidR="0063022D" w:rsidRPr="004D4FCC" w:rsidTr="009010F3">
        <w:tc>
          <w:tcPr>
            <w:tcW w:w="9580" w:type="dxa"/>
            <w:gridSpan w:val="4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b/>
                <w:sz w:val="22"/>
                <w:szCs w:val="22"/>
              </w:rPr>
            </w:pPr>
            <w:r w:rsidRPr="00737244">
              <w:rPr>
                <w:b/>
                <w:sz w:val="22"/>
                <w:szCs w:val="22"/>
              </w:rPr>
              <w:t xml:space="preserve">Ремонт кровель нежилых зданий площадью </w:t>
            </w:r>
            <w:r w:rsidRPr="00B725DD">
              <w:rPr>
                <w:b/>
                <w:sz w:val="22"/>
                <w:szCs w:val="22"/>
              </w:rPr>
              <w:t>1693,6</w:t>
            </w:r>
            <w:r w:rsidRPr="00737244">
              <w:rPr>
                <w:b/>
                <w:sz w:val="22"/>
                <w:szCs w:val="22"/>
              </w:rPr>
              <w:t xml:space="preserve"> м2</w:t>
            </w:r>
            <w:r w:rsidR="00875543">
              <w:rPr>
                <w:b/>
                <w:sz w:val="22"/>
                <w:szCs w:val="22"/>
              </w:rPr>
              <w:t xml:space="preserve"> согласно Перечню</w:t>
            </w:r>
            <w:r>
              <w:rPr>
                <w:b/>
                <w:sz w:val="22"/>
                <w:szCs w:val="22"/>
              </w:rPr>
              <w:t xml:space="preserve"> нежилых зданий (Приложение №</w:t>
            </w:r>
            <w:r w:rsidR="00875543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 xml:space="preserve"> к ТЕХНИЧЕСКОМУ ЗАДАНИЮ)</w:t>
            </w:r>
            <w:r w:rsidRPr="00737244">
              <w:rPr>
                <w:b/>
                <w:sz w:val="22"/>
                <w:szCs w:val="22"/>
              </w:rPr>
              <w:t xml:space="preserve">, расположенных по </w:t>
            </w:r>
            <w:proofErr w:type="gramStart"/>
            <w:r w:rsidRPr="00737244">
              <w:rPr>
                <w:b/>
                <w:sz w:val="22"/>
                <w:szCs w:val="22"/>
              </w:rPr>
              <w:t>адресу: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</w:t>
            </w:r>
            <w:r w:rsidRPr="00737244">
              <w:rPr>
                <w:b/>
                <w:sz w:val="22"/>
                <w:szCs w:val="22"/>
              </w:rPr>
              <w:t xml:space="preserve"> Красноярский край, г. Красноярск, ул. 26 Бакинских Комиссаров, д. 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Разборка покрытий кровель из рулонных материалов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>Устройство кровель плоских из наплавляемых материалов в два слоя</w:t>
            </w:r>
          </w:p>
        </w:tc>
        <w:tc>
          <w:tcPr>
            <w:tcW w:w="1701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F15B80"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Устройство выравнивающих стяжек цементно-песчаных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Pr="00737244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proofErr w:type="spellStart"/>
            <w:r w:rsidRPr="00781907">
              <w:rPr>
                <w:sz w:val="22"/>
                <w:szCs w:val="22"/>
              </w:rPr>
              <w:t>Огрунтовка</w:t>
            </w:r>
            <w:proofErr w:type="spellEnd"/>
            <w:r w:rsidRPr="00781907">
              <w:rPr>
                <w:sz w:val="22"/>
                <w:szCs w:val="22"/>
              </w:rPr>
              <w:t xml:space="preserve"> оснований из бетона или раствора под водоизоляционный кровельный ковер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</w:pPr>
            <w:r w:rsidRPr="006D09B4">
              <w:rPr>
                <w:sz w:val="22"/>
                <w:szCs w:val="22"/>
              </w:rPr>
              <w:t>м2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1693,6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37244">
              <w:rPr>
                <w:sz w:val="22"/>
                <w:szCs w:val="22"/>
              </w:rPr>
              <w:t xml:space="preserve">Смена обделок из листовой стали (поясков, </w:t>
            </w:r>
            <w:proofErr w:type="spellStart"/>
            <w:r w:rsidRPr="00737244">
              <w:rPr>
                <w:sz w:val="22"/>
                <w:szCs w:val="22"/>
              </w:rPr>
              <w:t>сандриков</w:t>
            </w:r>
            <w:proofErr w:type="spellEnd"/>
            <w:r w:rsidRPr="00737244">
              <w:rPr>
                <w:sz w:val="22"/>
                <w:szCs w:val="22"/>
              </w:rPr>
              <w:t>, отливов, карнизов) шириной до 0,</w:t>
            </w:r>
            <w:r>
              <w:rPr>
                <w:sz w:val="22"/>
                <w:szCs w:val="22"/>
              </w:rPr>
              <w:t>4</w:t>
            </w:r>
            <w:r w:rsidRPr="00737244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92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497,81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63022D" w:rsidRPr="00737244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Мусор строительный с погрузкой вручную: погрузка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  <w:tr w:rsidR="0063022D" w:rsidRPr="004D4FCC" w:rsidTr="009010F3">
        <w:tc>
          <w:tcPr>
            <w:tcW w:w="675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63022D" w:rsidRPr="00781907" w:rsidRDefault="0063022D" w:rsidP="009010F3">
            <w:pPr>
              <w:rPr>
                <w:sz w:val="22"/>
                <w:szCs w:val="22"/>
              </w:rPr>
            </w:pPr>
            <w:r w:rsidRPr="00781907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3022D" w:rsidRDefault="0063022D" w:rsidP="00901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</w:p>
        </w:tc>
        <w:tc>
          <w:tcPr>
            <w:tcW w:w="1392" w:type="dxa"/>
            <w:shd w:val="clear" w:color="auto" w:fill="auto"/>
          </w:tcPr>
          <w:p w:rsidR="0063022D" w:rsidRPr="009B3C40" w:rsidRDefault="0063022D" w:rsidP="009010F3">
            <w:pPr>
              <w:jc w:val="center"/>
            </w:pPr>
            <w:r w:rsidRPr="009B3C40">
              <w:t>63,33622</w:t>
            </w:r>
          </w:p>
        </w:tc>
      </w:tr>
    </w:tbl>
    <w:p w:rsidR="0063022D" w:rsidRDefault="0063022D" w:rsidP="0063022D">
      <w:pPr>
        <w:jc w:val="both"/>
        <w:rPr>
          <w:szCs w:val="22"/>
        </w:rPr>
      </w:pPr>
    </w:p>
    <w:p w:rsidR="0063022D" w:rsidRDefault="0063022D" w:rsidP="0063022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________________/К.С. Скобников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875543" w:rsidP="00875543">
      <w:pPr>
        <w:jc w:val="right"/>
      </w:pPr>
      <w:r>
        <w:lastRenderedPageBreak/>
        <w:t>Приложение № 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EA45E3">
        <w:t>11</w:t>
      </w:r>
      <w:r>
        <w:t>-2017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EA45E3">
        <w:t>11</w:t>
      </w:r>
      <w:r>
        <w:t>-2017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>Приложение № 7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кровель нежилых зданий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 xml:space="preserve">«___» _________ 2017 г. № </w:t>
      </w:r>
      <w:r w:rsidR="00EA45E3">
        <w:t>11</w:t>
      </w:r>
      <w:bookmarkStart w:id="7" w:name="_GoBack"/>
      <w:bookmarkEnd w:id="7"/>
      <w:r>
        <w:t>-2017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 xml:space="preserve">материалов,  </w:t>
      </w:r>
      <w:r w:rsidRPr="00CF7B87">
        <w:rPr>
          <w:sz w:val="24"/>
          <w:szCs w:val="24"/>
        </w:rPr>
        <w:lastRenderedPageBreak/>
        <w:t>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875543">
      <w:pPr>
        <w:pStyle w:val="af1"/>
        <w:widowControl/>
        <w:numPr>
          <w:ilvl w:val="2"/>
          <w:numId w:val="48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875543">
      <w:pPr>
        <w:pStyle w:val="af1"/>
        <w:widowControl/>
        <w:numPr>
          <w:ilvl w:val="0"/>
          <w:numId w:val="48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875543">
      <w:pPr>
        <w:pStyle w:val="af1"/>
        <w:widowControl/>
        <w:numPr>
          <w:ilvl w:val="1"/>
          <w:numId w:val="49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875543">
      <w:pPr>
        <w:pStyle w:val="af1"/>
        <w:widowControl/>
        <w:numPr>
          <w:ilvl w:val="1"/>
          <w:numId w:val="50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875543">
      <w:pPr>
        <w:pStyle w:val="af1"/>
        <w:widowControl/>
        <w:numPr>
          <w:ilvl w:val="1"/>
          <w:numId w:val="48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48" w:rsidRDefault="001E4048" w:rsidP="005B4189">
      <w:r>
        <w:separator/>
      </w:r>
    </w:p>
  </w:endnote>
  <w:endnote w:type="continuationSeparator" w:id="0">
    <w:p w:rsidR="001E4048" w:rsidRDefault="001E40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8" w:rsidRDefault="001E404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5E3">
      <w:rPr>
        <w:noProof/>
      </w:rPr>
      <w:t>9</w:t>
    </w:r>
    <w:r>
      <w:fldChar w:fldCharType="end"/>
    </w:r>
  </w:p>
  <w:p w:rsidR="001E4048" w:rsidRDefault="001E4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BE" w:rsidRDefault="00864ABE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45E3">
      <w:rPr>
        <w:noProof/>
      </w:rPr>
      <w:t>17</w:t>
    </w:r>
    <w:r>
      <w:fldChar w:fldCharType="end"/>
    </w:r>
  </w:p>
  <w:p w:rsidR="00864ABE" w:rsidRDefault="00864ABE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48" w:rsidRDefault="001E4048" w:rsidP="005B4189">
      <w:r>
        <w:separator/>
      </w:r>
    </w:p>
  </w:footnote>
  <w:footnote w:type="continuationSeparator" w:id="0">
    <w:p w:rsidR="001E4048" w:rsidRDefault="001E40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AB5"/>
    <w:multiLevelType w:val="hybridMultilevel"/>
    <w:tmpl w:val="501A4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CAB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4BB0"/>
    <w:multiLevelType w:val="hybridMultilevel"/>
    <w:tmpl w:val="D1460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56731"/>
    <w:multiLevelType w:val="hybridMultilevel"/>
    <w:tmpl w:val="2E2EE234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6140A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65901"/>
    <w:multiLevelType w:val="hybridMultilevel"/>
    <w:tmpl w:val="AEBCD7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EFF"/>
    <w:multiLevelType w:val="hybridMultilevel"/>
    <w:tmpl w:val="96F0EB68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56A7"/>
    <w:multiLevelType w:val="hybridMultilevel"/>
    <w:tmpl w:val="377A8C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0EBD29EB"/>
    <w:multiLevelType w:val="hybridMultilevel"/>
    <w:tmpl w:val="BE48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80688"/>
    <w:multiLevelType w:val="hybridMultilevel"/>
    <w:tmpl w:val="035AE77C"/>
    <w:lvl w:ilvl="0" w:tplc="9488BE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17597"/>
    <w:multiLevelType w:val="hybridMultilevel"/>
    <w:tmpl w:val="E3CEE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47578"/>
    <w:multiLevelType w:val="hybridMultilevel"/>
    <w:tmpl w:val="5D782EB4"/>
    <w:lvl w:ilvl="0" w:tplc="5ECAD1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401414"/>
    <w:multiLevelType w:val="hybridMultilevel"/>
    <w:tmpl w:val="6206E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EA0904"/>
    <w:multiLevelType w:val="hybridMultilevel"/>
    <w:tmpl w:val="163099AE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5" w15:restartNumberingAfterBreak="0">
    <w:nsid w:val="1F6F2C2E"/>
    <w:multiLevelType w:val="hybridMultilevel"/>
    <w:tmpl w:val="3DF41392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15612D3"/>
    <w:multiLevelType w:val="hybridMultilevel"/>
    <w:tmpl w:val="48C65E1A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41C21"/>
    <w:multiLevelType w:val="hybridMultilevel"/>
    <w:tmpl w:val="C20CCCFE"/>
    <w:lvl w:ilvl="0" w:tplc="FFFFFFFF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234A9D"/>
    <w:multiLevelType w:val="hybridMultilevel"/>
    <w:tmpl w:val="689E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E70C4"/>
    <w:multiLevelType w:val="hybridMultilevel"/>
    <w:tmpl w:val="BA305D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B9364CF"/>
    <w:multiLevelType w:val="hybridMultilevel"/>
    <w:tmpl w:val="1314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C63E0"/>
    <w:multiLevelType w:val="hybridMultilevel"/>
    <w:tmpl w:val="AE46489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30CD73B5"/>
    <w:multiLevelType w:val="hybridMultilevel"/>
    <w:tmpl w:val="53D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1811FD"/>
    <w:multiLevelType w:val="hybridMultilevel"/>
    <w:tmpl w:val="6F382A8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22C06DC"/>
    <w:multiLevelType w:val="hybridMultilevel"/>
    <w:tmpl w:val="B41A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C4C20"/>
    <w:multiLevelType w:val="hybridMultilevel"/>
    <w:tmpl w:val="712C2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F2D49"/>
    <w:multiLevelType w:val="hybridMultilevel"/>
    <w:tmpl w:val="04C8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F0840"/>
    <w:multiLevelType w:val="hybridMultilevel"/>
    <w:tmpl w:val="4CC6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18E2"/>
    <w:multiLevelType w:val="hybridMultilevel"/>
    <w:tmpl w:val="B51C7BE6"/>
    <w:lvl w:ilvl="0" w:tplc="0419000F">
      <w:start w:val="1"/>
      <w:numFmt w:val="decimal"/>
      <w:lvlText w:val="%1."/>
      <w:lvlJc w:val="left"/>
      <w:pPr>
        <w:ind w:left="642" w:hanging="360"/>
      </w:p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9" w15:restartNumberingAfterBreak="0">
    <w:nsid w:val="48095684"/>
    <w:multiLevelType w:val="hybridMultilevel"/>
    <w:tmpl w:val="CE9C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9523A"/>
    <w:multiLevelType w:val="hybridMultilevel"/>
    <w:tmpl w:val="239C7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42106"/>
    <w:multiLevelType w:val="hybridMultilevel"/>
    <w:tmpl w:val="4808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52EB"/>
    <w:multiLevelType w:val="hybridMultilevel"/>
    <w:tmpl w:val="FA6EF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743"/>
    <w:multiLevelType w:val="multilevel"/>
    <w:tmpl w:val="B51C7B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1C9D"/>
    <w:multiLevelType w:val="hybridMultilevel"/>
    <w:tmpl w:val="C41AB094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5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9F13469"/>
    <w:multiLevelType w:val="hybridMultilevel"/>
    <w:tmpl w:val="A2D43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BEC3D82"/>
    <w:multiLevelType w:val="hybridMultilevel"/>
    <w:tmpl w:val="CF488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C50FE"/>
    <w:multiLevelType w:val="hybridMultilevel"/>
    <w:tmpl w:val="BC626EE4"/>
    <w:lvl w:ilvl="0" w:tplc="5ECAD1D8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E266730"/>
    <w:multiLevelType w:val="hybridMultilevel"/>
    <w:tmpl w:val="F3C6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D8E"/>
    <w:multiLevelType w:val="multilevel"/>
    <w:tmpl w:val="DB780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E05655"/>
    <w:multiLevelType w:val="multilevel"/>
    <w:tmpl w:val="4446B284"/>
    <w:lvl w:ilvl="0">
      <w:start w:val="5"/>
      <w:numFmt w:val="none"/>
      <w:lvlText w:val="8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8.%2."/>
      <w:lvlJc w:val="left"/>
      <w:pPr>
        <w:tabs>
          <w:tab w:val="num" w:pos="1424"/>
        </w:tabs>
        <w:ind w:left="1424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8"/>
        </w:tabs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42"/>
        </w:tabs>
        <w:ind w:left="4542" w:hanging="11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3" w15:restartNumberingAfterBreak="0">
    <w:nsid w:val="6EE930CE"/>
    <w:multiLevelType w:val="hybridMultilevel"/>
    <w:tmpl w:val="24AA0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4EC5827"/>
    <w:multiLevelType w:val="hybridMultilevel"/>
    <w:tmpl w:val="2492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F289B"/>
    <w:multiLevelType w:val="hybridMultilevel"/>
    <w:tmpl w:val="F0DCABF2"/>
    <w:lvl w:ilvl="0" w:tplc="5ECAD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52317"/>
    <w:multiLevelType w:val="hybridMultilevel"/>
    <w:tmpl w:val="FA5A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B7351B"/>
    <w:multiLevelType w:val="hybridMultilevel"/>
    <w:tmpl w:val="FAF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8"/>
  </w:num>
  <w:num w:numId="3">
    <w:abstractNumId w:val="32"/>
  </w:num>
  <w:num w:numId="4">
    <w:abstractNumId w:val="0"/>
  </w:num>
  <w:num w:numId="5">
    <w:abstractNumId w:val="2"/>
  </w:num>
  <w:num w:numId="6">
    <w:abstractNumId w:val="45"/>
  </w:num>
  <w:num w:numId="7">
    <w:abstractNumId w:val="27"/>
  </w:num>
  <w:num w:numId="8">
    <w:abstractNumId w:val="10"/>
  </w:num>
  <w:num w:numId="9">
    <w:abstractNumId w:val="5"/>
  </w:num>
  <w:num w:numId="10">
    <w:abstractNumId w:val="12"/>
  </w:num>
  <w:num w:numId="11">
    <w:abstractNumId w:val="16"/>
  </w:num>
  <w:num w:numId="12">
    <w:abstractNumId w:val="38"/>
  </w:num>
  <w:num w:numId="13">
    <w:abstractNumId w:val="23"/>
  </w:num>
  <w:num w:numId="14">
    <w:abstractNumId w:val="21"/>
  </w:num>
  <w:num w:numId="15">
    <w:abstractNumId w:val="15"/>
  </w:num>
  <w:num w:numId="16">
    <w:abstractNumId w:val="41"/>
  </w:num>
  <w:num w:numId="17">
    <w:abstractNumId w:val="8"/>
  </w:num>
  <w:num w:numId="18">
    <w:abstractNumId w:val="19"/>
  </w:num>
  <w:num w:numId="19">
    <w:abstractNumId w:val="46"/>
  </w:num>
  <w:num w:numId="20">
    <w:abstractNumId w:val="4"/>
  </w:num>
  <w:num w:numId="21">
    <w:abstractNumId w:val="1"/>
  </w:num>
  <w:num w:numId="22">
    <w:abstractNumId w:val="9"/>
  </w:num>
  <w:num w:numId="23">
    <w:abstractNumId w:val="29"/>
  </w:num>
  <w:num w:numId="24">
    <w:abstractNumId w:val="28"/>
  </w:num>
  <w:num w:numId="25">
    <w:abstractNumId w:val="34"/>
  </w:num>
  <w:num w:numId="26">
    <w:abstractNumId w:val="33"/>
  </w:num>
  <w:num w:numId="27">
    <w:abstractNumId w:val="18"/>
  </w:num>
  <w:num w:numId="28">
    <w:abstractNumId w:val="31"/>
  </w:num>
  <w:num w:numId="29">
    <w:abstractNumId w:val="11"/>
  </w:num>
  <w:num w:numId="30">
    <w:abstractNumId w:val="7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6"/>
  </w:num>
  <w:num w:numId="35">
    <w:abstractNumId w:val="37"/>
  </w:num>
  <w:num w:numId="36">
    <w:abstractNumId w:val="3"/>
  </w:num>
  <w:num w:numId="37">
    <w:abstractNumId w:val="40"/>
  </w:num>
  <w:num w:numId="38">
    <w:abstractNumId w:val="25"/>
  </w:num>
  <w:num w:numId="39">
    <w:abstractNumId w:val="22"/>
  </w:num>
  <w:num w:numId="40">
    <w:abstractNumId w:val="26"/>
  </w:num>
  <w:num w:numId="41">
    <w:abstractNumId w:val="47"/>
  </w:num>
  <w:num w:numId="42">
    <w:abstractNumId w:val="20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4"/>
  </w:num>
  <w:num w:numId="46">
    <w:abstractNumId w:val="13"/>
  </w:num>
  <w:num w:numId="47">
    <w:abstractNumId w:val="36"/>
  </w:num>
  <w:num w:numId="48">
    <w:abstractNumId w:val="35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D13F8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A3AF2"/>
    <w:rsid w:val="007B7C05"/>
    <w:rsid w:val="007D13B2"/>
    <w:rsid w:val="007E4E1A"/>
    <w:rsid w:val="007F4969"/>
    <w:rsid w:val="00803A84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767EF"/>
    <w:rsid w:val="00984D17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A45E3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7C39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0219-4C92-4CB9-9B66-D71C9A63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19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Панова Юлия Владленовна</cp:lastModifiedBy>
  <cp:revision>10</cp:revision>
  <cp:lastPrinted>2016-07-07T04:25:00Z</cp:lastPrinted>
  <dcterms:created xsi:type="dcterms:W3CDTF">2016-11-16T02:23:00Z</dcterms:created>
  <dcterms:modified xsi:type="dcterms:W3CDTF">2017-09-06T06:29:00Z</dcterms:modified>
</cp:coreProperties>
</file>